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8.png" ContentType="image/png"/>
  <Override PartName="/word/media/rId46.png" ContentType="image/png"/>
  <Override PartName="/word/media/rId49.png" ContentType="image/png"/>
  <Override PartName="/word/media/rId47.png" ContentType="image/png"/>
  <Override PartName="/word/media/rId54.png" ContentType="image/png"/>
  <Override PartName="/word/media/rId53.png" ContentType="image/png"/>
  <Override PartName="/word/media/rId50.png" ContentType="image/png"/>
  <Override PartName="/word/media/rId51.png" ContentType="image/png"/>
  <Override PartName="/word/media/rId5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2020-12-04 06:43:59</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However, mismatches between time scales present in the monitoring data and scales of analysis or management questions can create challenges for accurately assessing trends with full propagation of uncertainty across methods. Here, we propose a novel application of Generalized Additive Models (GAMs) to model seasonal and multi-decadal changes in a long-term monitoring dataset of chlorophyll-a concentrations in South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address the specific goal of estimating seasonal averages in a response variable and using those averages plus uncertainty to assess inter-annual trends, neither of which are addressed by previous applications of GAMs to environmental monitoring data. The approach first demonstrates that nearly identical descriptions of chlorophyll as a function of time can be obtained using different smoothing splines for annual or seasonal components of the time series. We then extract seasonal averages for an a priori period of time within each year from the GAM results, including an accurate assessment of standard error within each year where the seasonal average is estimated. Finally, we demonstrate how trends can be assessed with mixed-meta regression analyses that evaluates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Many environmental monitoring programs generate fine-scale but potentially irregular time-series data to assess long-term trends for regulatory, management, or research purposes. The mismatch between the scales of monitoring versus analysis questions or management goals can lead to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finer temporal scales, environmental systems may show short-term fluctuations from multiple factors (e.g., weather events, management, or seasonal changes). Such fluctuations may not be of direct interest for longer-term trends or may not be well-suited to multi-scale smoothing methods. However, aggregate features of seasonal patterns that integrate or summarize short-term fluctuations may be of interest.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Previous methods for water quality trend analysis can be generalized into four basic approaches. Seasonal Kendall tests or related non-parametric approaches have been used for decades in water quality trend assessments to identify monotonic changes that account for seasonal variation between years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A literature survey of</w:t>
      </w:r>
      <w:r>
        <w:t xml:space="preserve"> </w:t>
      </w:r>
      <w:r>
        <w:t xml:space="preserve">Wan et al. (</w:t>
      </w:r>
      <w:hyperlink w:anchor="ref-Wan17">
        <w:r>
          <w:rPr>
            <w:rStyle w:val="Hyperlink"/>
          </w:rPr>
          <w:t xml:space="preserve">2017</w:t>
        </w:r>
      </w:hyperlink>
      <w:r>
        <w:t xml:space="preserve">)</w:t>
      </w:r>
      <w:r>
        <w:t xml:space="preserve"> </w:t>
      </w:r>
      <w:r>
        <w:t xml:space="preserve">revealed non-parametric approaches to be the most commonly used methods in long-term water quality trend analysis, yet they have limited scope. For descriptive decomposition of long-term monitoring data, they do not account for changes occurring at different temporal scales, do not adequately evaluate irregularly spaced data, do not incorporate other explanatory variables,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include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Conventional STL approaches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more recently developed method of weighted regression on time, discharge, and season (WRTDS) uses a more general local regression scheme than STL</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river data where separating the effect of discharge on constituent concentration is important, WRTDS estimates a moving window regression model with components that allows parameters to vary smoothly in relation to both time and discharge. This yields parameters that are specific to season, year, and flow regime. Conceptually, the approach is similar to localized multi-polynomial smoothing methods, although the application was developed specifically for describing long-term water quality trends. Standard error estimates of predictions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 in</w:t>
      </w:r>
      <w:r>
        <w:t xml:space="preserve"> </w:t>
      </w:r>
      <w:r>
        <w:t xml:space="preserve">Hirsch et al. (</w:t>
      </w:r>
      <w:hyperlink w:anchor="ref-Hirsch10">
        <w:r>
          <w:rPr>
            <w:rStyle w:val="Hyperlink"/>
          </w:rPr>
          <w:t xml:space="preserve">2010</w:t>
        </w:r>
      </w:hyperlink>
      <w:r>
        <w:t xml:space="preserve">)</w:t>
      </w:r>
      <w:r>
        <w:t xml:space="preserve">, the approach requires extensive resampling as a post-hoc application to a previously fitted model.</w:t>
      </w:r>
    </w:p>
    <w:p>
      <w:pPr>
        <w:pStyle w:val="BodyText"/>
      </w:pPr>
      <w:r>
        <w:t xml:space="preserve">The final and most recent approach is to use smoothing splines to separate fluctuations on different time scales and do so within the larger framework of generalized additive models (GAMs)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These may be seen as generalizing the concepts behind STL and WRTDS. In statistics, the evolution of non-parametric regression methods has largely converged on GAMs rather than more generalized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described next,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User input is also required to specify an acceptable degree of smoothing used by the</w:t>
      </w:r>
      <w:r>
        <w:t xml:space="preserve"> </w:t>
      </w:r>
      <w:r>
        <w:t xml:space="preserve">“</w:t>
      </w:r>
      <w:r>
        <w:t xml:space="preserve">windows</w:t>
      </w:r>
      <w:r>
        <w:t xml:space="preserve">”</w:t>
      </w:r>
      <w:r>
        <w:t xml:space="preserve"> </w:t>
      </w:r>
      <w:r>
        <w:t xml:space="preserve">that define the localized fit of WRTDS at each point in the time series. These windows are conceptually similar to the kernel (or bandwidth) that used in more conventional smoothing methods. There is no simple rule to guide the choice of defining an appropriate size and a tradeoff between over- and under-smoothing is a hallmark of these approaches.</w:t>
      </w:r>
    </w:p>
    <w:p>
      <w:pPr>
        <w:pStyle w:val="BodyText"/>
      </w:pPr>
      <w:r>
        <w:t xml:space="preserve">Compared to kernel smoothing methods, GAMs have various advantages. They are formulated using</w:t>
      </w:r>
      <w:r>
        <w:t xml:space="preserve"> </w:t>
      </w:r>
      <w:r>
        <w:t xml:space="preserve">“</w:t>
      </w:r>
      <w:r>
        <w:t xml:space="preserve">basis functions</w:t>
      </w:r>
      <w:r>
        <w:t xml:space="preserve">”</w:t>
      </w:r>
      <w:r>
        <w:t xml:space="preserve">, and these can be customized for needs such as cyclic splines (e.g., for an annual pattern) and low-dimensional interactions. They can naturally include both parametric (e.g. linear or quadratic) components and non-parametric (spline) components. Importantly, multiple approaches to automatically determine the optimal degree of smoothness have been developed, based on likelihood and/or optimizing out-of-sample prediction error. They have natural frequentist and Bayesian interpretations, are naturally extensible to include random effects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 For these reasons, GAMs are widely used for non-parametric regression smoothing in many fields.</w:t>
      </w:r>
    </w:p>
    <w:p>
      <w:pPr>
        <w:pStyle w:val="BodyText"/>
      </w:pPr>
      <w:r>
        <w:t xml:space="preserve">GAMs have recently been applied to trend analysis of water quality time-series, particularly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but with different formulations and goals than given here. For example, in the US, the Chesapeake Bay Program uses GAMs to decompose time-series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That is related to the methods here, but this paper gives more general methods for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different time lags in describing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needs that are not satisfied by previous methods, but can use GAMs as a starting point. Our general goal is to understand interannual changes in seasonally averaged water quality metrics, such as chlorophyll. However, the seasonal average within each year must account for different sampling times and intervals, and any trend analysis must incorporate the uncertainties in seasonal averages. STL and/or WRTDS could potentially separate seasonal from long-term trends, but doing so is not necessary to determine seasonal averages. What is needed is an accurate estimate of uncertainty (e.g., a standard error) of seasonal averages, allowing for irregular sampling and the non-independence inherent in time-series. This can be done with GAMs, but we develop an application that is distinct from previous studies. Even if estimates of seasonal averages and their standard errors are available, none of these methods are designed to understand interannual trends in those averages. A Kendall test would not incorporate the standard errors or reveal useful long-term patterns beyond a significance test. Similarly, STL and WRTDS are not designed for this goal.</w:t>
      </w:r>
    </w:p>
    <w:p>
      <w:pPr>
        <w:pStyle w:val="BodyText"/>
      </w:pPr>
      <w:r>
        <w:t xml:space="preserve">We illustrate the proposed methods with the motivating example of water quality monitoring in the southern portion of San Francisco Estuary, California, USA. For several decades, approximately twice-monthly monitoring has been conducted at fixed locations (stations) of the longitudinal axis of the Bay. Analysis of these data is complicated by irregularities in timing and consistency of data collection, such that simple seasonal averages of raw data may not adequately describe trends. Examples of long-term trend questions include: Are there significant trends in spring mean chlorophyll at four-year (or other) time-scales? At what across-year scale do within-year summer-fall mean chlorophyll levels change? Are there significant across-year trends in within-year timing of the spring bloom in chlorophyll or in baseline levels during periods of low productivity?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following signal extraction with GAMs that is new to environmental trend-detection problems. For this step, we give methods for isolating seasonal trends secondarily from GAM results with reasonable certainty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1990-2019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methods proposed here involve three stages. First, a GAM is used to estimate a smooth pattern of variation in the raw data along with its uncertainty. Second, a feature of interest is calculated from the estimated GAM, along with its propagated uncertainty. For this example, the seasonal averages are extracted, whereas other features could be the timing or magnitude of a seasonal peak, but those are not developed here. Third, a mixed effects meta-analysis is used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Two mixed effects meta-analysis approaches are developed, 1) simple comparison of whether seasonal features differ across years, and 2) estimation of short-term linear trends on time-scales chosen by the analyst.</w:t>
      </w:r>
    </w:p>
    <w:p>
      <w:pPr>
        <w:pStyle w:val="BodyText"/>
      </w:pPr>
      <w:r>
        <w:t xml:space="preserve">The three-stage approach is motivated in several ways. In the first stage, the GAM is used for signal-extraction at the scale of the raw data and we explain the relationships among various GAM specifications to emphasize concordance between the trend-analysis goal and signal-extraction goal in the formulation of splines. The second stage uses mixed-meta analysis to propagate uncertainty from estimated GAM parameters to features of interest, i.e., seasonal averages. Such features can be practically evaluated as functions of the fitted GAM, rather than as parameters to be estimated within the GAM. On a practical level, the first two stages can be viewed as creating a</w:t>
      </w:r>
      <w:r>
        <w:t xml:space="preserve"> </w:t>
      </w:r>
      <w:r>
        <w:t xml:space="preserve">“</w:t>
      </w:r>
      <w:r>
        <w:t xml:space="preserve">data product</w:t>
      </w:r>
      <w:r>
        <w:t xml:space="preserve">”</w:t>
      </w:r>
      <w:r>
        <w:t xml:space="preserve"> </w:t>
      </w:r>
      <w:r>
        <w:t xml:space="preserve">that can be used in any subsequent analyses as long as they include the uncertainty associated with each point estimate. This offers an important practical benefit for visualization and management purposes. For the third stage (long-term trend-analysis), we harness existing meta-analysis methods that are well-suited to the task at hand.</w:t>
      </w:r>
    </w:p>
    <w:p>
      <w:pPr>
        <w:pStyle w:val="Heading3"/>
      </w:pPr>
      <w:bookmarkStart w:id="32" w:name="first-stage-analysis-gam-estimation"/>
      <w:r>
        <w:t xml:space="preserve">First-stage analysis: GAM estimation</w:t>
      </w:r>
      <w:bookmarkEnd w:id="32"/>
    </w:p>
    <w:p>
      <w:pPr>
        <w:pStyle w:val="FirstParagraph"/>
      </w:pPr>
      <w:r>
        <w:t xml:space="preserve">Generalized additive models use sums of parametric terms (e.g., linear) and non-parametric terms (e.g., smoothing splines) to predict response data. In our approach, GAMs are used to estimate signal and uncertainty from the time-series data. Results are subsequently used in the second-stage analysis, described below.</w:t>
      </w:r>
    </w:p>
    <w:p>
      <w:pPr>
        <w:pStyle w:val="BodyText"/>
      </w:pPr>
      <w:r>
        <w:t xml:space="preserve">In this section we describe four GAM formulations that can achieve the same or similar fits to data in slightly different ways (Table</w:t>
      </w:r>
      <w:r>
        <w:t xml:space="preserve"> </w:t>
      </w:r>
      <w:r>
        <w:t xml:space="preserve">2</w:t>
      </w:r>
      <w:r>
        <w:t xml:space="preserve">). We present these to clarify relationships that may otherwise be confusing and to emphasize that results can be similarly achieved if a model unconstrained to have sufficient capability to extract a signal from raw data. Models will be written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fundamental goal is to smooth the raw data across time to separate a signal of response variable from noise. The simplest GAM for this purpose can be expressed as:</w:t>
      </w:r>
    </w:p>
    <w:p>
      <w:pPr>
        <w:pStyle w:val="BodyText"/>
      </w:pPr>
      <w:r>
        <w:t xml:space="preserve">Model S:</w:t>
      </w:r>
      <w:r>
        <w:t xml:space="preserve"> </w:t>
      </w:r>
      <w:r>
        <w:rPr>
          <w:rStyle w:val="VerbatimChar"/>
        </w:rPr>
        <w:t xml:space="preserve">y ~ s(cont_year, k = num_knots_Y)</w:t>
      </w:r>
    </w:p>
    <w:p>
      <w:pPr>
        <w:pStyle w:val="BodyText"/>
      </w:pPr>
      <w:r>
        <w:t xml:space="preserve">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knots used to create the spline. Following previous authors</w:t>
      </w:r>
      <w:r>
        <w:t xml:space="preserve"> </w:t>
      </w:r>
      <w:r>
        <w:t xml:space="preserve">(Murphy et al.</w:t>
      </w:r>
      <w:r>
        <w:t xml:space="preserve"> </w:t>
      </w:r>
      <w:hyperlink w:anchor="ref-Murphy19">
        <w:r>
          <w:rPr>
            <w:rStyle w:val="Hyperlink"/>
          </w:rPr>
          <w:t xml:space="preserve">2019</w:t>
        </w:r>
      </w:hyperlink>
      <w:r>
        <w:t xml:space="preserve">, Yang and Moyer</w:t>
      </w:r>
      <w:r>
        <w:t xml:space="preserve"> </w:t>
      </w:r>
      <w:hyperlink w:anchor="ref-Yang20">
        <w:r>
          <w:rPr>
            <w:rStyle w:val="Hyperlink"/>
          </w:rPr>
          <w:t xml:space="preserve">2020</w:t>
        </w:r>
      </w:hyperlink>
      <w:r>
        <w:t xml:space="preserve">)</w:t>
      </w:r>
      <w:r>
        <w:t xml:space="preserve">, we consider log-transformed (base 10) chlorophyll levels for analysis.</w:t>
      </w:r>
    </w:p>
    <w:p>
      <w:pPr>
        <w:pStyle w:val="BodyText"/>
      </w:pPr>
      <w:r>
        <w:t xml:space="preserve">For smoothing in</w:t>
      </w:r>
      <w:r>
        <w:t xml:space="preserve"> </w:t>
      </w:r>
      <w:r>
        <w:rPr>
          <w:rStyle w:val="VerbatimChar"/>
        </w:rPr>
        <w:t xml:space="preserve">mgcv</w:t>
      </w:r>
      <w:r>
        <w:t xml:space="preserve">, appropriate smoothness is achieved not by choice of knots but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the number of knots must be sufficiently large. Results should not be sensitive to the number of knots; if they are, the number of knots should be increased. Therefore, we choose a sufficiently large number of knots for</w:t>
      </w:r>
      <w:r>
        <w:t xml:space="preserve"> </w:t>
      </w:r>
      <w:r>
        <w:rPr>
          <w:rStyle w:val="VerbatimChar"/>
        </w:rPr>
        <w:t xml:space="preserve">num_knots_Y</w:t>
      </w:r>
      <w:r>
        <w:t xml:space="preserve"> </w:t>
      </w:r>
      <w:r>
        <w:t xml:space="preserve">as 12 times the number of years in the time series that was modeled. This created the potential to have one knot per month as an approach to both prevent under-fitting the observed data and to accurately estimate the seasonal signal within a year. In some cases, this upper limit was too large given the observed data and the multiplier was reduced by one until sufficient degrees of freedom were available (i.e., 12 * years, 11 * years, etc.).</w:t>
      </w:r>
    </w:p>
    <w:p>
      <w:pPr>
        <w:pStyle w:val="BodyText"/>
      </w:pPr>
      <w:r>
        <w:t xml:space="preserve">The next three spline formulations differ in how spline terms compose a model to smooth the raw data. For convenience, a linear trend in</w:t>
      </w:r>
      <w:r>
        <w:t xml:space="preserve"> </w:t>
      </w:r>
      <w:r>
        <w:rPr>
          <w:rStyle w:val="VerbatimChar"/>
        </w:rPr>
        <w:t xml:space="preserve">cont_year</w:t>
      </w:r>
      <w:r>
        <w:t xml:space="preserve"> </w:t>
      </w:r>
      <w:r>
        <w:t xml:space="preserve">can be specified explicitly as a separate component. This would be expressed as:</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effectively and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 the</w:t>
      </w:r>
      <w:r>
        <w:t xml:space="preserve"> </w:t>
      </w:r>
      <w:r>
        <w:rPr>
          <w:rStyle w:val="VerbatimChar"/>
        </w:rPr>
        <w:t xml:space="preserve">mgcv</w:t>
      </w:r>
      <w:r>
        <w:t xml:space="preserve"> </w:t>
      </w:r>
      <w:r>
        <w:t xml:space="preserve">implementation automatically adjusts the basis functions for the spline to exclude the linear term, to avoid over-parameterizing the model. With model S, the estimated trend in</w:t>
      </w:r>
      <w:r>
        <w:t xml:space="preserve"> </w:t>
      </w:r>
      <w:r>
        <w:rPr>
          <w:rStyle w:val="VerbatimChar"/>
        </w:rPr>
        <w:t xml:space="preserve">cont_year</w:t>
      </w:r>
      <w:r>
        <w:t xml:space="preserve"> </w:t>
      </w:r>
      <w:r>
        <w:t xml:space="preserve">and its uncertainty can be extracted from the fitted spline. With model SY, it is available more conveniently. Further, package</w:t>
      </w:r>
      <w:r>
        <w:t xml:space="preserve"> </w:t>
      </w:r>
      <w:r>
        <w:rPr>
          <w:rStyle w:val="VerbatimChar"/>
        </w:rPr>
        <w:t xml:space="preserve">mgcv</w:t>
      </w:r>
      <w:r>
        <w:t xml:space="preserve"> </w:t>
      </w:r>
      <w:r>
        <w:t xml:space="preserve">includes an option</w:t>
      </w:r>
      <w:r>
        <w:t xml:space="preserve"> </w:t>
      </w:r>
      <w:r>
        <w:rPr>
          <w:rStyle w:val="VerbatimChar"/>
        </w:rPr>
        <w:t xml:space="preserve">select = TRUE</w:t>
      </w:r>
      <w:r>
        <w:t xml:space="preserve"> </w:t>
      </w:r>
      <w:r>
        <w:t xml:space="preserve">to penalize linear trends in splines to provide a method for variable selection,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Next, an average within-year cyclic pattern as a separate spline can be separated in the model formulation. This can be expressed as:</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be functionally similar. In this model, the</w:t>
      </w:r>
      <w:r>
        <w:t xml:space="preserve"> </w:t>
      </w:r>
      <w:r>
        <w:rPr>
          <w:rStyle w:val="VerbatimChar"/>
        </w:rPr>
        <w:t xml:space="preserve">doy</w:t>
      </w:r>
      <w:r>
        <w:t xml:space="preserve"> </w:t>
      </w:r>
      <w:r>
        <w:t xml:space="preserve">spline gives the average pattern of fluctuations within each year. This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Caution is needed in interpreting differences in fit between model SYD and models S or SY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w:t>
      </w:r>
      <w:r>
        <w:t xml:space="preserve"> </w:t>
      </w:r>
      <w:r>
        <w:t xml:space="preserve">“</w:t>
      </w:r>
      <w:r>
        <w:t xml:space="preserve">borrow information</w:t>
      </w:r>
      <w:r>
        <w:t xml:space="preserve">”</w:t>
      </w:r>
      <w:r>
        <w:t xml:space="preserve"> </w:t>
      </w:r>
      <w:r>
        <w:t xml:space="preserve">across years. The model will impute an average seasonal pattern where data are limited. However, a conceptual representation of what an average within-year pattern represents is challenging. For example, suppose a spring chlorophyll peak is a notable feature in every year. If the timing is the same in every year whereas the magnitudes vary, then the average within-year pattern will have an average magnitude thta appears as a</w:t>
      </w:r>
      <w:r>
        <w:t xml:space="preserve"> </w:t>
      </w:r>
      <w:r>
        <w:t xml:space="preserve">“</w:t>
      </w:r>
      <w:r>
        <w:t xml:space="preserve">typical</w:t>
      </w:r>
      <w:r>
        <w:t xml:space="preserve">”</w:t>
      </w:r>
      <w:r>
        <w:t xml:space="preserve"> </w:t>
      </w:r>
      <w:r>
        <w:t xml:space="preserve">year. However, if the magnitude is the same and the timing varies across years, then the average within-year pattern will not appear typical. The imputed values will represent a day-by-day average, appearing more spread out in time than the pattern in any single year.</w:t>
      </w:r>
    </w:p>
    <w:p>
      <w:pPr>
        <w:pStyle w:val="BodyText"/>
      </w:pPr>
      <w:r>
        <w:t xml:space="preserve">More importantly, the average within-year pattern (and its uncertainty) can be obtained from estimated models S and SY, as well as from model SYD, but using a different approach. In models S and SY, the average within-year pattern is simply the average across years of the smoothed within-year patterns. From this perspective, model SYD, like model SY, is a convenience, estimating the average within-year pattern directly as a separate estimated spline. The average pattern extracted from model S or SY may not be identical to the</w:t>
      </w:r>
      <w:r>
        <w:t xml:space="preserve"> </w:t>
      </w:r>
      <w:r>
        <w:rPr>
          <w:rStyle w:val="VerbatimChar"/>
        </w:rPr>
        <w:t xml:space="preserve">doy</w:t>
      </w:r>
      <w:r>
        <w:t xml:space="preserve"> </w:t>
      </w:r>
      <w:r>
        <w:t xml:space="preserve">spline estimated in model SYD, again due to different smoothing formulations, but in practice they should be similar.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to avoid over-parameterization.</w:t>
      </w:r>
    </w:p>
    <w:p>
      <w:pPr>
        <w:pStyle w:val="BodyText"/>
      </w:pPr>
      <w:r>
        <w:t xml:space="preserve">Following similar rationale above, the relationship of model SYDI to model S is similar to that of model SYD to model S. Model SYDI is more mathematically different,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as above because of fewer knots.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across years. For example, if one year has an early and large magnitude spring bloom, the years before and after would have similar patterns described by the model, perhaps different but not substantially. For the raw SFE data, this may not be the case, as one year might have an early, high spring bloom and the next year a late, low spring bloom, or other such large variation across years. If the interaction spline has sufficient knots, then the degree of smoothness across years can be estimated to be very low, allowing fluctuations within years to vary strongly across years. However, if that is the case, the conceptual motivation for model SYDI may not be justified. In summary, model SDYI may best be suited for systems where within-year fluctuations actually vary smoothly across years, in which case it may out-perform the other models. If that is not the case, it may perform similarly to the others, but the spline structure and penalty structure are more different, making performance harder to compare (Table</w:t>
      </w:r>
      <w:r>
        <w:t xml:space="preserve"> </w:t>
      </w:r>
      <w:r>
        <w:t xml:space="preserve">3</w:t>
      </w:r>
      <w:r>
        <w:t xml:space="preserve">).</w:t>
      </w:r>
    </w:p>
    <w:p>
      <w:pPr>
        <w:pStyle w:val="BodyText"/>
      </w:pPr>
      <w:r>
        <w:t xml:space="preserve">All of the models require a sufficiently large number of knots in one or more of the spline terms to accommodate the fluctuations in the data and use the GAM estimation methods in the manner for which they were designed.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 In practice, allocation of knots between the different splines can be chosen by the analyst so long as it is recognized that different choices will arbitrarily lead to more variation being explained between the splines.</w:t>
      </w:r>
    </w:p>
    <w:p>
      <w:pPr>
        <w:pStyle w:val="BodyText"/>
      </w:pPr>
      <w:r>
        <w:t xml:space="preserve">Murphy et al. (</w:t>
      </w:r>
      <w:hyperlink w:anchor="ref-Murphy19">
        <w:r>
          <w:rPr>
            <w:rStyle w:val="Hyperlink"/>
          </w:rPr>
          <w:t xml:space="preserve">2019</w:t>
        </w:r>
      </w:hyperlink>
      <w:r>
        <w:t xml:space="preserve">)</w:t>
      </w:r>
      <w:r>
        <w:t xml:space="preserve"> </w:t>
      </w:r>
      <w:r>
        <w:t xml:space="preserve">used a related set of spline formulations but used them differently than we do here.</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and was not explored further. Compared to our uses of SYD and SYDI, their uses differ in choice of knots and interpretation of results. For SYD, they set a maximum number of knots in the</w:t>
      </w:r>
      <w:r>
        <w:t xml:space="preserve"> </w:t>
      </w:r>
      <w:r>
        <w:rPr>
          <w:rStyle w:val="VerbatimChar"/>
        </w:rPr>
        <w:t xml:space="preserve">s(cont_year)</w:t>
      </w:r>
      <w:r>
        <w:t xml:space="preserve"> </w:t>
      </w:r>
      <w:r>
        <w:t xml:space="preserve">term of 2/3 times the number of years, whereas we use 12 times the number of years, roughly one per month. Thus, they interpret this spline as separating a long-term (or low-frequency) trend from other patterns, whereas we use it to separate signal from noise at a scale informed by the data. In the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w:t>
      </w:r>
      <w:r>
        <w:t xml:space="preserve"> </w:t>
      </w:r>
      <w:r>
        <w:t xml:space="preserve">Murphy et al. (</w:t>
      </w:r>
      <w:hyperlink w:anchor="ref-Murphy19">
        <w:r>
          <w:rPr>
            <w:rStyle w:val="Hyperlink"/>
          </w:rPr>
          <w:t xml:space="preserve">2019</w:t>
        </w:r>
      </w:hyperlink>
      <w:r>
        <w:t xml:space="preserve">)</w:t>
      </w:r>
      <w:r>
        <w:t xml:space="preserve"> </w:t>
      </w:r>
      <w:r>
        <w:t xml:space="preserve">in effect use choice of number of knots in different spline components to serve as ad hoc allocation of variation in the data to different components while not necessarily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lead to inflated Type I error rates, which would apply to their later comparisons of changes across time, but they leave that problem for future work. For the methods presented here, we seek to avoid inflated Type I error rates arising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In our example, such large differences in AIC would only reflect inadequate choice of knots in one or more splines.</w:t>
      </w:r>
    </w:p>
    <w:p>
      <w:pPr>
        <w:pStyle w:val="BodyText"/>
      </w:pPr>
      <w:r>
        <w:t xml:space="preserve">We present a simple visual comparison of chlorophyll estimates from models SY, SYD, and SYDI to emphasize that similar fits can be achieved by all of the presented models (Figure</w:t>
      </w:r>
      <w:r>
        <w:t xml:space="preserve"> </w:t>
      </w:r>
      <w:r>
        <w:t xml:space="preserve">3</w:t>
      </w:r>
      <w:r>
        <w:t xml:space="preserve">,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Model predictions by day of year are visually similar between the models (Figure</w:t>
      </w:r>
      <w:r>
        <w:t xml:space="preserve"> </w:t>
      </w:r>
      <w:r>
        <w:t xml:space="preserve">3</w:t>
      </w:r>
      <w:r>
        <w:t xml:space="preserve">a) and are very similar when compared to a 1:1 line (Figure</w:t>
      </w:r>
      <w:r>
        <w:t xml:space="preserve"> </w:t>
      </w:r>
      <w:r>
        <w:t xml:space="preserve">3</w:t>
      </w:r>
      <w:r>
        <w:t xml:space="preserve">b). However, when comparing similarities among the models using only the continuous year smoother (</w:t>
      </w:r>
      <w:r>
        <w:rPr>
          <w:rStyle w:val="VerbatimChar"/>
        </w:rPr>
        <w:t xml:space="preserve">s(cont_year)</w:t>
      </w:r>
      <w:r>
        <w:t xml:space="preserve">, as an example), the models differ substantially because of structural differences and differences in the penalties applied to the basis functions. These results are also demonstrated in differences between the effective degrees of freedom among the additive components of each model in Table</w:t>
      </w:r>
      <w:r>
        <w:t xml:space="preserve"> </w:t>
      </w:r>
      <w:r>
        <w:t xml:space="preserve">3</w:t>
      </w:r>
      <w:r>
        <w:t xml:space="preserve">. Accordingly, the models may differ in which structural component describes variation in the chlorophyll time series, but the model predictions are very similar.</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Next we consider the goal of estimating a seasonal average, such as the mean spring chlorophyll concentrations and the estimated uncertainty in each year.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estimate parameters and</w:t>
      </w:r>
      <w:r>
        <w:t xml:space="preserve"> </w:t>
      </w:r>
      <m:oMath>
        <m:r>
          <m:rPr>
            <m:sty m:val="b"/>
          </m:rPr>
          <m:t>X</m:t>
        </m:r>
      </m:oMath>
      <w:r>
        <w:t xml:space="preserve"> </w:t>
      </w:r>
      <w:r>
        <w:t xml:space="preserve">is a model matrix of explanatory variables, including spline basis function values. Here</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are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Since parameter estimates are correlated, it is important to use the full</w:t>
      </w:r>
      <w:r>
        <w:t xml:space="preserve"> </w:t>
      </w:r>
      <m:oMath>
        <m:sSub>
          <m:e>
            <m:acc>
              <m:accPr>
                <m:chr m:val="̂"/>
              </m:accPr>
              <m:e>
                <m:r>
                  <m:t>Σ</m:t>
                </m:r>
              </m:e>
            </m:acc>
          </m:e>
          <m:sub>
            <m:acc>
              <m:accPr>
                <m:chr m:val="̂"/>
              </m:accPr>
              <m:e>
                <m:r>
                  <m:t>β</m:t>
                </m:r>
              </m:e>
            </m:acc>
          </m:sub>
        </m:sSub>
      </m:oMath>
      <w:r>
        <w:t xml:space="preserve"> </w:t>
      </w:r>
      <w:r>
        <w:t xml:space="preserve">to determine the covariance of</w:t>
      </w:r>
      <w:r>
        <w:t xml:space="preserve"> </w:t>
      </w:r>
      <m:oMath>
        <m:acc>
          <m:accPr>
            <m:chr m:val="̂"/>
          </m:accPr>
          <m:e>
            <m:r>
              <m:rPr>
                <m:sty m:val="b"/>
              </m:rPr>
              <m:t>y</m:t>
            </m:r>
          </m:e>
        </m:acc>
      </m:oMath>
      <w:r>
        <w:t xml:space="preserve">. This is given by</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Finally, the estimated seasonal average is</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standard results based on approximate multivariate normality of the sampling distribution of</w:t>
      </w:r>
      <w:r>
        <w:t xml:space="preserve"> </w:t>
      </w:r>
      <m:oMath>
        <m:acc>
          <m:accPr>
            <m:chr m:val="̂"/>
          </m:accPr>
          <m:e>
            <m:r>
              <m:rPr>
                <m:sty m:val="b"/>
              </m:rPr>
              <m:t>β</m:t>
            </m:r>
          </m:e>
        </m:acc>
      </m:oMath>
      <w:r>
        <w:t xml:space="preserve">. A similar summary for comparing multi-year averages of month-scale spline values for sets of years at the beginning vs. end of a time-series is provided by</w:t>
      </w:r>
      <w:r>
        <w:t xml:space="preserve"> </w:t>
      </w:r>
      <w:r>
        <w:t xml:space="preserve">Murphy et al. (</w:t>
      </w:r>
      <w:hyperlink w:anchor="ref-Murphy19">
        <w:r>
          <w:rPr>
            <w:rStyle w:val="Hyperlink"/>
          </w:rPr>
          <w:t xml:space="preserve">2019</w:t>
        </w:r>
      </w:hyperlink>
      <w:r>
        <w:t xml:space="preserve">)</w:t>
      </w:r>
      <w:r>
        <w:t xml:space="preserve">. For example, the above estimates can be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can then be used to determine if the two estimates in time are significantly different from 0, e.g., is Chla-a different now than it was before based on GAM estimates.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This section explains how the within-year features (</w:t>
      </w:r>
      <m:oMath>
        <m:sSub>
          <m:e>
            <m:acc>
              <m:accPr>
                <m:chr m:val="̂"/>
              </m:accPr>
              <m:e>
                <m:r>
                  <m:t>μ</m:t>
                </m:r>
              </m:e>
            </m:acc>
          </m:e>
          <m:sub>
            <m:r>
              <m:t>t</m:t>
            </m:r>
          </m:sub>
        </m:sSub>
      </m:oMath>
      <w:r>
        <w:t xml:space="preserve">) from the estimated GAMs, and their standard errors</w:t>
      </w:r>
      <w:r>
        <w:t xml:space="preserve"> </w:t>
      </w:r>
      <m:oMath>
        <m:sSub>
          <m:e>
            <m:acc>
              <m:accPr>
                <m:chr m:val="̂"/>
              </m:accPr>
              <m:e>
                <m:r>
                  <m:t>σ</m:t>
                </m:r>
              </m:e>
            </m:acc>
          </m:e>
          <m:sub>
            <m:acc>
              <m:accPr>
                <m:chr m:val="̂"/>
              </m:accPr>
              <m:e>
                <m:r>
                  <m:t>μ</m:t>
                </m:r>
              </m:e>
            </m:acc>
            <m:r>
              <m:t>,</m:t>
            </m:r>
            <m:r>
              <m:t>t</m:t>
            </m:r>
          </m:sub>
        </m:sSub>
      </m:oMath>
      <w:r>
        <w:t xml:space="preserve">, are used to investigate across-year trends of within-year features. In the examples, we use two seasonal averages of chlorophyll as features, one for January-July and the other for August-December. These periods are chosen for their relevance to phytoplankton bloom phenology and broad seasonal patterns that occur in the SFE region. For any feature of interest that includes estimates with associated standard errors, meta-analysis methods can be used to address two kinds of questions:</w:t>
      </w:r>
    </w:p>
    <w:p>
      <w:pPr>
        <w:pStyle w:val="Compact"/>
        <w:numPr>
          <w:numId w:val="1001"/>
          <w:ilvl w:val="0"/>
        </w:numPr>
      </w:pPr>
      <w:r>
        <w:t xml:space="preserve">Do two years, or a group of years, differ significantly in a seasonal average?</w:t>
      </w:r>
    </w:p>
    <w:p>
      <w:pPr>
        <w:pStyle w:val="Compact"/>
        <w:numPr>
          <w:numId w:val="1001"/>
          <w:ilvl w:val="0"/>
        </w:numPr>
      </w:pPr>
      <w:r>
        <w:t xml:space="preserve">Is there a significant linear trend across a group of years in a seasonal average, where the time-scale of the trend is chosen by the investigator? This question can be posed in a moving-window manner across a time-series.</w:t>
      </w:r>
    </w:p>
    <w:p>
      <w:pPr>
        <w:pStyle w:val="FirstParagraph"/>
      </w:pPr>
      <w:r>
        <w:t xml:space="preserve">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7ad58e57f24287263065d98eb37e2e0c87b29c0"/>
      <w:r>
        <w:t xml:space="preserve">Differences among years in seasonal averages</w:t>
      </w:r>
      <w:bookmarkEnd w:id="35"/>
    </w:p>
    <w:p>
      <w:pPr>
        <w:pStyle w:val="FirstParagraph"/>
      </w:pPr>
      <w:r>
        <w:t xml:space="preserve">To test the null hypothesis that</w:t>
      </w:r>
      <w:r>
        <w:t xml:space="preserve"> </w:t>
      </w:r>
      <m:oMath>
        <m:sSub>
          <m:e>
            <m:r>
              <m:t>μ</m:t>
            </m:r>
          </m:e>
          <m:sub>
            <m:r>
              <m:t>t</m:t>
            </m:r>
          </m:sub>
        </m:sSub>
        <m:r>
          <m:t>=</m:t>
        </m:r>
        <m:sSub>
          <m:e>
            <m:r>
              <m:t>μ</m:t>
            </m:r>
          </m:e>
          <m:sub>
            <m:r>
              <m:t>r</m:t>
            </m:r>
          </m:sub>
        </m:sSub>
      </m:oMath>
      <w:r>
        <w:t xml:space="preserve"> </w:t>
      </w:r>
      <w:r>
        <w:t xml:space="preserve">for years</w:t>
      </w:r>
      <w:r>
        <w:t xml:space="preserve"> </w:t>
      </w:r>
      <m:oMath>
        <m:r>
          <m:t>r</m:t>
        </m:r>
      </m:oMath>
      <w:r>
        <w:t xml:space="preserve"> </w:t>
      </w:r>
      <w:r>
        <w:t xml:space="preserve">and</w:t>
      </w:r>
      <w:r>
        <w:t xml:space="preserve"> </w:t>
      </w:r>
      <m:oMath>
        <m:r>
          <m:t>t</m:t>
        </m:r>
      </m:oMath>
      <w:r>
        <w:t xml:space="preserve">, one can use simple normal distribution theory that</w:t>
      </w:r>
      <w:r>
        <w:t xml:space="preserve"> </w:t>
      </w:r>
      <m:oMath>
        <m:sSub>
          <m:e>
            <m:acc>
              <m:accPr>
                <m:chr m:val="̂"/>
              </m:accPr>
              <m:e>
                <m:r>
                  <m:t>μ</m:t>
                </m:r>
              </m:e>
            </m:acc>
          </m:e>
          <m:sub>
            <m:r>
              <m:t>t</m:t>
            </m:r>
          </m:sub>
        </m:sSub>
        <m:r>
          <m:t>−</m:t>
        </m:r>
        <m:sSub>
          <m:e>
            <m:acc>
              <m:accPr>
                <m:chr m:val="̂"/>
              </m:accPr>
              <m:e>
                <m:r>
                  <m:t>μ</m:t>
                </m:r>
              </m:e>
            </m:acc>
          </m:e>
          <m:sub>
            <m:r>
              <m:t>r</m:t>
            </m:r>
          </m:sub>
        </m:sSub>
      </m:oMath>
      <w:r>
        <w:t xml:space="preserve"> </w:t>
      </w:r>
      <w:r>
        <w:t xml:space="preserve">has standard error</w:t>
      </w:r>
      <w:r>
        <w:t xml:space="preserve"> </w:t>
      </w:r>
      <m:oMath>
        <m:r>
          <m:t>(</m:t>
        </m:r>
        <m:sSubSup>
          <m:e>
            <m:acc>
              <m:accPr>
                <m:chr m:val="̂"/>
              </m:accPr>
              <m:e>
                <m:r>
                  <m:t>σ</m:t>
                </m:r>
              </m:e>
            </m:acc>
          </m:e>
          <m:sub>
            <m:acc>
              <m:accPr>
                <m:chr m:val="̂"/>
              </m:accPr>
              <m:e>
                <m:r>
                  <m:t>μ</m:t>
                </m:r>
              </m:e>
            </m:acc>
            <m:r>
              <m:t>,</m:t>
            </m:r>
            <m:r>
              <m:t>t</m:t>
            </m:r>
          </m:sub>
          <m:sup>
            <m:r>
              <m:t>2</m:t>
            </m:r>
          </m:sup>
        </m:sSubSup>
        <m:r>
          <m:t>+</m:t>
        </m:r>
        <m:sSubSup>
          <m:e>
            <m:acc>
              <m:accPr>
                <m:chr m:val="̂"/>
              </m:accPr>
              <m:e>
                <m:r>
                  <m:t>σ</m:t>
                </m:r>
              </m:e>
            </m:acc>
          </m:e>
          <m:sub>
            <m:acc>
              <m:accPr>
                <m:chr m:val="̂"/>
              </m:accPr>
              <m:e>
                <m:r>
                  <m:t>μ</m:t>
                </m:r>
              </m:e>
            </m:acc>
            <m:r>
              <m:t>,</m:t>
            </m:r>
            <m:r>
              <m:t>r</m:t>
            </m:r>
          </m:sub>
          <m:sup>
            <m:r>
              <m:t>2</m:t>
            </m:r>
          </m:sup>
        </m:sSubSup>
        <m:sSup>
          <m:e>
            <m:r>
              <m:t>)</m:t>
            </m:r>
          </m:e>
          <m:sup>
            <m:r>
              <m:t>1</m:t>
            </m:r>
            <m:r>
              <m:t>/</m:t>
            </m:r>
            <m:r>
              <m:t>2</m:t>
            </m:r>
          </m:sup>
        </m:sSup>
      </m:oMath>
      <w:r>
        <w:t xml:space="preserve">. To test the null hypothesis that all means in a group of (&gt;2) years are equal, one can use a simple case of the meta-analysis given in the next section or a general linear hypothesis test. The latter readily includes consideration of multiple testing, which is provided in the R package</w:t>
      </w:r>
      <w:r>
        <w:t xml:space="preserve"> </w:t>
      </w:r>
      <w:r>
        <w:rPr>
          <w:rStyle w:val="VerbatimChar"/>
        </w:rPr>
        <w:t xml:space="preserve">multcomp</w:t>
      </w:r>
      <w:r>
        <w:t xml:space="preserve"> </w:t>
      </w:r>
      <w:r>
        <w:t xml:space="preserve">(Hothorn et al.</w:t>
      </w:r>
      <w:r>
        <w:t xml:space="preserve"> </w:t>
      </w:r>
      <w:hyperlink w:anchor="ref-Hothorn08">
        <w:r>
          <w:rPr>
            <w:rStyle w:val="Hyperlink"/>
          </w:rPr>
          <w:t xml:space="preserve">2008</w:t>
        </w:r>
      </w:hyperlink>
      <w:r>
        <w:t xml:space="preserve">)</w:t>
      </w:r>
      <w:r>
        <w:t xml:space="preserve">. While this package typically uses the results of a linear or generalized linear model fit as input, alternative values of</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w:t>
      </w:r>
      <w:r>
        <w:t xml:space="preserve">could be provided as inputs.</w:t>
      </w:r>
    </w:p>
    <w:p>
      <w:pPr>
        <w:pStyle w:val="Heading3"/>
      </w:pPr>
      <w:bookmarkStart w:id="36" w:name="Xbb2d851c395f09e1bdc0c3d788c0750828f65bf"/>
      <w:r>
        <w:t xml:space="preserve">Linear trends across years at a chosen time-scale of interest</w:t>
      </w:r>
      <w:bookmarkEnd w:id="36"/>
    </w:p>
    <w:p>
      <w:pPr>
        <w:pStyle w:val="FirstParagraph"/>
      </w:pPr>
      <w:r>
        <w:t xml:space="preserve">The standard meta-analysis mixed effects model to estimate linear trends is given as follows, using notation similar to</w:t>
      </w:r>
      <w:r>
        <w:t xml:space="preserve"> </w:t>
      </w:r>
      <w:r>
        <w:t xml:space="preserve">(Sera et al.</w:t>
      </w:r>
      <w:r>
        <w:t xml:space="preserve">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Here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is assumed to be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The R package</w:t>
      </w:r>
      <w:r>
        <w:t xml:space="preserve"> </w:t>
      </w:r>
      <w:r>
        <w:rPr>
          <w:i/>
        </w:rPr>
        <w:t xml:space="preserve">mixmeta</w:t>
      </w:r>
      <w:r>
        <w:t xml:space="preserve"> </w:t>
      </w:r>
      <w:r>
        <w:t xml:space="preserve">was used to estimate the model in equation (1)</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whereas others are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We apply this method for windows of a chosen width of years. This approach evaluates whether there is a significant linear trend in chlorophyll over a chosen series of years, by providing a more comprehensive assessment of all the data in those years (i.e., the seasonal averages, plus their uncertainty). Some years may have had more sampling, resulting in smaller standard error for</w:t>
      </w:r>
      <w:r>
        <w:t xml:space="preserve"> </w:t>
      </w:r>
      <m:oMath>
        <m:sSub>
          <m:e>
            <m:acc>
              <m:accPr>
                <m:chr m:val="̂"/>
              </m:accPr>
              <m:e>
                <m:r>
                  <m:t>μ</m:t>
                </m:r>
              </m:e>
            </m:acc>
          </m:e>
          <m:sub>
            <m:r>
              <m:t>t</m:t>
            </m:r>
          </m:sub>
        </m:sSub>
      </m:oMath>
      <w:r>
        <w:t xml:space="preserve">, while others may have had less sampling, result in higher standard error. The meta-analysis explicitly includes these differences in uncertainty magnitudes.</w:t>
      </w:r>
    </w:p>
    <w:p>
      <w:pPr>
        <w:pStyle w:val="BodyText"/>
      </w:pPr>
      <w:r>
        <w:t xml:space="preserve">As a final analysis, the chosen windows for evaluating a trend for a seasonal average can be applied across the time series to assess periods of time within which trends could be significant or not. Although the initial window width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Heading1"/>
      </w:pPr>
      <w:bookmarkStart w:id="37" w:name="results"/>
      <w:r>
        <w:t xml:space="preserve">Results</w:t>
      </w:r>
      <w:bookmarkEnd w:id="37"/>
    </w:p>
    <w:p>
      <w:pPr>
        <w:pStyle w:val="Heading2"/>
      </w:pPr>
      <w:bookmarkStart w:id="38" w:name="model-performance-and-observed-results"/>
      <w:r>
        <w:t xml:space="preserve">Model performance and observed results</w:t>
      </w:r>
      <w:bookmarkEnd w:id="38"/>
    </w:p>
    <w:p>
      <w:pPr>
        <w:pStyle w:val="FirstParagraph"/>
      </w:pPr>
      <w:r>
        <w:t xml:space="preserve">For all results, model S was used with a sufficiently high number of knots in</w:t>
      </w:r>
      <w:r>
        <w:t xml:space="preserve"> </w:t>
      </w:r>
      <w:r>
        <w:rPr>
          <w:rStyle w:val="VerbatimChar"/>
        </w:rPr>
        <w:t xml:space="preserve">num_knots_y</w:t>
      </w:r>
      <w:r>
        <w:t xml:space="preserve"> </w:t>
      </w:r>
      <w:r>
        <w:t xml:space="preserve">to evaluate chlorophyll trends across the monitoring stations in South SFE. This model was chosen because of the relatively quicker processing time to fit the model, while providing nearly identical explanatory power as compared to the other models (Table</w:t>
      </w:r>
      <w:r>
        <w:t xml:space="preserve"> </w:t>
      </w:r>
      <w:r>
        <w:t xml:space="preserve">3</w:t>
      </w:r>
      <w:r>
        <w:t xml:space="preserve">). Chlorophyll trends were generally well-explained across all stations (Table</w:t>
      </w:r>
      <w:r>
        <w:t xml:space="preserve"> </w:t>
      </w:r>
      <w:r>
        <w:t xml:space="preserve">4</w:t>
      </w:r>
      <w:r>
        <w:t xml:space="preserve">), with an average R-squared value equal to 71% and ranging from 59% (station 22) to 78% (station 18). GAM predictions from north to south on the longitudinal axis provided different descriptions of annual and seasonal changes in chlorophyll (Figure</w:t>
      </w:r>
      <w:r>
        <w:t xml:space="preserve"> </w:t>
      </w:r>
      <w:r>
        <w:t xml:space="preserve">4</w:t>
      </w:r>
      <w:r>
        <w:t xml:space="preserve">). All models suggested an increase in chlorophyll in the period of record from 1990 to approximately 2005 to 2010, followed by a decreasing trend until the end of the record. Seasonally, all models indicated a larger spring peak in chlorophyll, particularly for more southern stations, whereas a subsequent peak in fall concentrations did not have any noticeable difference in magnitude by location (Figure</w:t>
      </w:r>
      <w:r>
        <w:t xml:space="preserve"> </w:t>
      </w:r>
      <w:r>
        <w:t xml:space="preserve">4</w:t>
      </w:r>
      <w:r>
        <w:t xml:space="preserve">).</w:t>
      </w:r>
    </w:p>
    <w:p>
      <w:pPr>
        <w:pStyle w:val="Heading2"/>
      </w:pPr>
      <w:bookmarkStart w:id="39" w:name="trend-estimates"/>
      <w:r>
        <w:t xml:space="preserve">Trend estimates</w:t>
      </w:r>
      <w:bookmarkEnd w:id="39"/>
    </w:p>
    <w:p>
      <w:pPr>
        <w:pStyle w:val="FirstParagraph"/>
      </w:pPr>
      <w:r>
        <w:t xml:space="preserve">Examples of results provided by the trend tests are shown for station 34, with estimates of percent change between year pairs and seasonal trend results for January to June and July to December for the same year pairs (Figure</w:t>
      </w:r>
      <w:r>
        <w:t xml:space="preserve"> </w:t>
      </w:r>
      <w:r>
        <w:t xml:space="preserve">5</w:t>
      </w:r>
      <w:r>
        <w:t xml:space="preserve">). This figure illustrates the narrative descriptions that can be obtained for each test and the differences that can be observed depending on season. Figures</w:t>
      </w:r>
      <w:r>
        <w:t xml:space="preserve"> </w:t>
      </w:r>
      <w:r>
        <w:t xml:space="preserve">5</w:t>
      </w:r>
      <w:r>
        <w:t xml:space="preserve">a-c demonstrate that average chlorophyll at station 34 from 1990 to 2000 had a 268.4% increase, although the change is insignificant because of large uncertainties in the chlorophyll averages in the first year. However, the change from 2000 to 2010 was a significant increase of 64%, followed by a significant decrease of 35% from 2010 to 2019. Although these trends were insignificant, the results are based on a priori decisions of which years to compare.</w:t>
      </w:r>
    </w:p>
    <w:p>
      <w:pPr>
        <w:pStyle w:val="BodyText"/>
      </w:pPr>
      <w:r>
        <w:t xml:space="preserve">An assessment of the annual differences indicates if changes overall were observed, but provides no information on seasonal shifts that may have contributed to these differences. Accordingly, figures</w:t>
      </w:r>
      <w:r>
        <w:t xml:space="preserve"> </w:t>
      </w:r>
      <w:r>
        <w:t xml:space="preserve">5</w:t>
      </w:r>
      <w:r>
        <w:t xml:space="preserve">d-i show results from mixed-meta regression analysis to evaluate changes across the same year pairs but using seasonal averages from GAM results. Rows d-f show the seasonal averages and trend estimates for the same year periods in rows a-c, but only for months from January to June. Similarly, rows g-i show the seasonal averages and trend estimates from July to December. The seasonal trend results suggested that a significant increase in chlorophyll was observed from 1991 to 2000 but only for the January to June period (slope 0.58 ug/L chlorophyll change per year). Similarly, A significant increase was observed from 2000 to 2010 but only for the July to December period (slope 0.58) Finally, a significant decrease was observed from 2010 to 2019 but only for the July to December period (slope -0.28). As a result, an assessment of trend changes by season provides a more precise assessment of trends over time and accounts for full uncertainty in estimates across model results.</w:t>
      </w:r>
    </w:p>
    <w:p>
      <w:pPr>
        <w:pStyle w:val="BodyText"/>
      </w:pPr>
      <w:r>
        <w:t xml:space="preserve">Spatial variation in trends suggested that most stations in South Bay had increasing chlorophyll from 1990 to 2010 following a decrease in recent years, although not all trends were significant and varied by location (Figure</w:t>
      </w:r>
      <w:r>
        <w:t xml:space="preserve"> </w:t>
      </w:r>
      <w:r>
        <w:t xml:space="preserve">6</w:t>
      </w:r>
      <w:r>
        <w:t xml:space="preserve">a). Comparing years 1990 and 2000, stations 21, 24, 27, and 30 had increasing significant trends. The magnitude of the chlorophyll increase in the southernmost stations (34, 36) was higher during this same period, although the trends were not significant. Comparing 2000 and 2010, significant increases were observed at the three northern-most stations (18, 21, and 22) and the three southern-most stations (32, 34, 36). Comparing 2010 and 2019, the three southern-most stations had significant decreases in annual chlorophyll, whereas station 24 had a significant increase during this period. The spatial trends were further evaluated with mixed-meta regression analysis to provide additional context to the annual changes by evaluating trends from January to June and July to December (Figure</w:t>
      </w:r>
      <w:r>
        <w:t xml:space="preserve"> </w:t>
      </w:r>
      <w:r>
        <w:t xml:space="preserve">6</w:t>
      </w:r>
      <w:r>
        <w:t xml:space="preserve">b). For the January to June period, significant increases were observed at stations 32, 34, and 36 from 1991 to 2000 and station 18 from 2000 to 2010, whereas a significant decrease was observed at stations 30 and 32 from 2010 to 2019. For the July to December period, significant increases were observed at stations 24, 27, 30, and 32 from 1991 to 2000 and stations 18, 21, 22, and 34 from 2000 to 2010, whereas significant decreases were observed at stations 30, 32, and 34 from 2010 to 2019.</w:t>
      </w:r>
    </w:p>
    <w:p>
      <w:pPr>
        <w:pStyle w:val="BodyText"/>
      </w:pPr>
      <w:r>
        <w:t xml:space="preserve">A final analysis evaluated a moving window comparison of seasonal trends to provide additional context of when significant changes are occurring at each station (Figure</w:t>
      </w:r>
      <w:r>
        <w:t xml:space="preserve"> </w:t>
      </w:r>
      <w:r>
        <w:t xml:space="preserve">7</w:t>
      </w:r>
      <w:r>
        <w:t xml:space="preserve">). Results were obtained using a centered five year window to estimate the slope and significance of a seasonal trend of GAM results from January to June and July to December for each five-year period at each station (note that estimates at the far left and far right of each time series cannot be calculated). As before, larger trends were generally observed with the more southern stations. Significant increases were observed for both January to June and July to December earlier in the period of record, whereas significant decreases were observed later in the record until recent years when trends were relatively stable. Most stations showed a shift around 2007 when trends switched from significantly increasing to significantly decreasing, particularly in the January to June period.</w:t>
      </w:r>
    </w:p>
    <w:p>
      <w:pPr>
        <w:pStyle w:val="Heading2"/>
      </w:pPr>
      <w:bookmarkStart w:id="40" w:name="trend-comparisons"/>
      <w:r>
        <w:t xml:space="preserve">Trend comparisons</w:t>
      </w:r>
      <w:bookmarkEnd w:id="40"/>
    </w:p>
    <w:p>
      <w:pPr>
        <w:pStyle w:val="FirstParagraph"/>
      </w:pPr>
      <w:r>
        <w:t xml:space="preserve">Trends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w:t>
      </w:r>
    </w:p>
    <w:p>
      <w:pPr>
        <w:pStyle w:val="BodyText"/>
      </w:pPr>
      <w:r>
        <w:t xml:space="preserve">These distinctions are demonstrated in Figure</w:t>
      </w:r>
      <w:r>
        <w:t xml:space="preserve"> </w:t>
      </w:r>
      <w:r>
        <w:t xml:space="preserve">8</w:t>
      </w:r>
      <w:r>
        <w:t xml:space="preserve"> </w:t>
      </w:r>
      <w:r>
        <w:t xml:space="preserve">for two stations and two time periods, where the significance of trends are compared based on regression through seasonal averages (Figure</w:t>
      </w:r>
      <w:r>
        <w:t xml:space="preserve"> </w:t>
      </w:r>
      <w:r>
        <w:t xml:space="preserve">8</w:t>
      </w:r>
      <w:r>
        <w:t xml:space="preserve"> </w:t>
      </w:r>
      <w:r>
        <w:t xml:space="preserve">row 1), regression through GAM estimates (row 2), and mixed-meta regression through GAM estimates (row 3). The stations and time periods were selected to demonstrate examples where different conclusions can be obtained depending on the methods and characteristics of the data. For example, Figure</w:t>
      </w:r>
      <w:r>
        <w:t xml:space="preserve"> </w:t>
      </w:r>
      <w:r>
        <w:t xml:space="preserve">8</w:t>
      </w:r>
      <w:r>
        <w:t xml:space="preserve">a shows trend estimates for station 36 for April to June averages from 1991 to 2000. Only the mixed-meta regression results are significant in this example. The observed regression results (top plot) and average regression on GAM estimates (middle plot) did not identify a significant trend. Figure</w:t>
      </w:r>
      <w:r>
        <w:t xml:space="preserve"> </w:t>
      </w:r>
      <w:r>
        <w:t xml:space="preserve">8</w:t>
      </w:r>
      <w:r>
        <w:t xml:space="preserve">b shows trend estimates for station 22 for October to December averages from 2000 to 2010. Unlike the first example, the top two figures show significant trend estimates, whereas the bottom plot for the mixed-meta regression analysis does not show a significant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Figure</w:t>
      </w:r>
      <w:r>
        <w:t xml:space="preserve"> </w:t>
      </w:r>
      <w:r>
        <w:t xml:space="preserve">9</w:t>
      </w:r>
      <w:r>
        <w:t xml:space="preserve"> </w:t>
      </w:r>
      <w:r>
        <w:t xml:space="preserve">expands the results in Figure</w:t>
      </w:r>
      <w:r>
        <w:t xml:space="preserve"> </w:t>
      </w:r>
      <w:r>
        <w:t xml:space="preserve">8</w:t>
      </w:r>
      <w:r>
        <w:t xml:space="preserve"> </w:t>
      </w:r>
      <w:r>
        <w:t xml:space="preserve">by applying the method comparisons to all stations. As before, the different trend analysis methods provided conflicting information on the magnitude and significance of the seasonal chlorophyll changes in each decade. The slope estimates from the linear models applied to the observed data were understandably more variable than the slope estimates from the GAM averages and mixed-meta methods, with much larger slopes observed especially at the more southern stations in the January to March period. Slope estimates from the linear models applied to the averages from the GAMs as compared to the mixed-meta results were more similar, excluding some of the slope estimates for the southern stations. Differences in significance of trends between the linear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The approach developed here can be used to estimate seasonal averages with uncertainty in water quality parameters and evaluate trends in these seasonal changes across years using full propagation of error estimates across methods. This approach leverages the ability of GAMs to objectively estimate smoothed trends across years by identifying an</w:t>
      </w:r>
      <w:r>
        <w:t xml:space="preserve"> </w:t>
      </w:r>
      <w:r>
        <w:t xml:space="preserve">“</w:t>
      </w:r>
      <w:r>
        <w:t xml:space="preserve">optimal</w:t>
      </w:r>
      <w:r>
        <w:t xml:space="preserve">”</w:t>
      </w:r>
      <w:r>
        <w:t xml:space="preserve"> </w:t>
      </w:r>
      <w:r>
        <w:t xml:space="preserve">level of smoothing with the mgcv R package that uses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Importantly, specifying an upper limit for the number of knots that can potentially be used to fit different smoothers is critical to this approach. A smaller limit can lead to under-smoothing and an insufficient characterization of trends that risk inflated Type I error rates. We further demonstrated that models with different structures in the smoothed components, such as separate smoothers for continuous year and day of year, can produce nearly identical results in the predicted trends if the knots are sufficiently high to allow the GAMs to be fit as intended by the methods in the mgcv package (Figure</w:t>
      </w:r>
      <w:r>
        <w:t xml:space="preserve"> </w:t>
      </w:r>
      <w:r>
        <w:t xml:space="preserve">3</w:t>
      </w:r>
      <w:r>
        <w:t xml:space="preserve">). This comparison demonstrated that model structure (i.e., types of smoothers) was less important than allowing the model sufficient freedom to estimate the trends over time. Although models with different structures allocate variance components of the response variable differently, this is a trivial issue for the second and third stage of analyses to estimate significance of trends developed herein.</w:t>
      </w:r>
    </w:p>
    <w:p>
      <w:pPr>
        <w:pStyle w:val="BodyText"/>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example in Figures</w:t>
      </w:r>
      <w:r>
        <w:t xml:space="preserve"> </w:t>
      </w:r>
      <w:r>
        <w:t xml:space="preserve">8</w:t>
      </w:r>
      <w:r>
        <w:t xml:space="preserve"> </w:t>
      </w:r>
      <w:r>
        <w:t xml:space="preserve">and</w:t>
      </w:r>
      <w:r>
        <w:t xml:space="preserve"> </w:t>
      </w:r>
      <w:r>
        <w:t xml:space="preserve">9</w:t>
      </w:r>
      <w:r>
        <w:t xml:space="preserve"> </w:t>
      </w:r>
      <w:r>
        <w:t xml:space="preserve">demonstrate how different conclusions can be obtained if propagation of uncertainty from raw observations across methods is unaccounted for in trend assessment. These comparisons are analogous to the example in the previous paragraph where a common approach prior to trend analysis is to aggregate raw observations. Our assessment of trends using linear regression applied to seasonal averages from the raw observations is effectively similar to averaging results within a year and applying a simple Kendall test. In many cases the results may be similar, but loss of information can lead to increased Type I or II error rates depending on characteristics of the raw data. This is particularly problematic if sampling effort varies substantially between years. Averages may be skewed in a particular direction if annual estimates are based on a handful of observations from select months (e.g., summer only)</w:t>
      </w:r>
      <w:r>
        <w:t xml:space="preserve">(Fouquet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should be considered an accurate representation of the actual trend within the limits of the raw observations.</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leading to potential under- or over-smoothing of fitted results to the raw observations.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 However, we acknowledge that the third stage analyses that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etc.),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also does not address causality in the observed trends. In this regard, the approach is similar to other trend assessment methods where the focus is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chlorophyll changes relative to time where the predictors were variations on a general theme (e.g., season vs. year), whereas using GAMs with different predictors assess potential causality is a different application with alternative goals.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chlorophyll is a trivial but logical extension of the methods proposed in this study. The long-term monitoring program maintained by USGS includes multiple parameters in addition to chlorophyll that can provide additional context into broader water quality trends in South Bay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Chlorophyll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We provide an open-source R package to facilitate these analyses (see supplement) that includes all methods described in this manuscript.</w:t>
      </w:r>
    </w:p>
    <w:p>
      <w:pPr>
        <w:pStyle w:val="Heading1"/>
      </w:pPr>
      <w:bookmarkStart w:id="42" w:name="supplement"/>
      <w:r>
        <w:t xml:space="preserve">Supplement</w:t>
      </w:r>
      <w:bookmarkEnd w:id="42"/>
    </w:p>
    <w:p>
      <w:pPr>
        <w:pStyle w:val="FirstParagraph"/>
      </w:pPr>
      <w:r>
        <w:t xml:space="preserve">The wqtrends R package includes all methods described in this manuscript. The package is available for download at</w:t>
      </w:r>
      <w:r>
        <w:t xml:space="preserve"> </w:t>
      </w:r>
      <w:hyperlink r:id="rId43">
        <w:r>
          <w:rPr>
            <w:rStyle w:val="Hyperlink"/>
          </w:rPr>
          <w:t xml:space="preserve">https://tbep-tech.github.io/wqtrends</w:t>
        </w:r>
      </w:hyperlink>
      <w:r>
        <w:t xml:space="preserve">. A full vignette describing installation and use is also available in the link provided. Please cite this manuscript in applications using the R package.</w:t>
      </w:r>
    </w:p>
    <w:p>
      <w:pPr>
        <w:pStyle w:val="BodyText"/>
      </w:pPr>
      <w:r>
        <w:t xml:space="preserve">A note about the</w:t>
      </w:r>
      <w:r>
        <w:t xml:space="preserve"> </w:t>
      </w:r>
      <w:r>
        <w:rPr>
          <w:rStyle w:val="VerbatimChar"/>
        </w:rPr>
        <w:t xml:space="preserve">select</w:t>
      </w:r>
      <w:r>
        <w:t xml:space="preserve"> </w:t>
      </w:r>
      <w:r>
        <w:t xml:space="preserve">argument in</w:t>
      </w:r>
      <w:r>
        <w:t xml:space="preserve"> </w:t>
      </w:r>
      <w:r>
        <w:rPr>
          <w:rStyle w:val="VerbatimChar"/>
        </w:rPr>
        <w:t xml:space="preserve">mgcv</w:t>
      </w:r>
      <w:r>
        <w:t xml:space="preserve">: 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coefficient of the linear terms in the spline. This would be appropriate if</w:t>
      </w:r>
      <w:r>
        <w:t xml:space="preserve"> </w:t>
      </w:r>
      <w:r>
        <w:rPr>
          <w:rStyle w:val="VerbatimChar"/>
        </w:rPr>
        <w:t xml:space="preserve">cont_year</w:t>
      </w:r>
      <w:r>
        <w:t xml:space="preserve"> </w:t>
      </w:r>
      <w:r>
        <w:t xml:space="preserve">was an explanatory variable subject to variable selection, but it is irrelevant if including both a linear and spline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AIC selection would suggest that one model is superior. This result would be an artifact of the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w:t>
      </w:r>
    </w:p>
    <w:p>
      <w:pPr>
        <w:pStyle w:val="Heading1"/>
      </w:pPr>
      <w:bookmarkStart w:id="44" w:name="acknowledgments"/>
      <w:r>
        <w:t xml:space="preserve">Acknowledgments</w:t>
      </w:r>
      <w:bookmarkEnd w:id="44"/>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w:t>
      </w:r>
    </w:p>
    <w:p>
      <w:pPr>
        <w:pStyle w:val="Heading1"/>
      </w:pPr>
      <w:bookmarkStart w:id="45" w:name="figures"/>
      <w:r>
        <w:t xml:space="preserve">Figures</w:t>
      </w:r>
      <w:bookmarkEnd w:id="45"/>
    </w:p>
    <w:p>
      <w:pPr>
        <w:pStyle w:val="CaptionedFigure"/>
      </w:pPr>
      <w:r>
        <w:drawing>
          <wp:inline>
            <wp:extent cx="5943600" cy="520065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6"/>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7"/>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8"/>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943600" cy="6604000"/>
            <wp:effectExtent b="0" l="0" r="0" t="0"/>
            <wp:docPr descr="Figure 4: GAM predictions for all stations from north to south for model S. The results show (a) predictions across the time series and (b) predictions by day of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9"/>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0"/>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1"/>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943600" cy="4984954"/>
            <wp:effectExtent b="0" l="0" r="0" t="0"/>
            <wp:docPr descr="Figure 8: Trend estimate comparisons for three models applied to seasonal averages of chlorophyll in different annual periods at two example stations.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Regressions in each plot are fit through the seasonal estimates indicated in the plot titles." title="" id="1" name="Picture"/>
            <a:graphic>
              <a:graphicData uri="http://schemas.openxmlformats.org/drawingml/2006/picture">
                <pic:pic>
                  <pic:nvPicPr>
                    <pic:cNvPr descr="figs/trndcmpex.png" id="0" name="Picture"/>
                    <pic:cNvPicPr>
                      <a:picLocks noChangeArrowheads="1" noChangeAspect="1"/>
                    </pic:cNvPicPr>
                  </pic:nvPicPr>
                  <pic:blipFill>
                    <a:blip r:embed="rId53"/>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chlorophyll in different annual periods at two example stations.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Regressions in each plot are fit through the seasonal estimates indicated in the plot titles.</w:t>
      </w:r>
    </w:p>
    <w:p>
      <w:pPr>
        <w:pStyle w:val="CaptionedFigure"/>
      </w:pPr>
      <w:r>
        <w:drawing>
          <wp:inline>
            <wp:extent cx="5943600" cy="6339840"/>
            <wp:effectExtent b="0" l="0" r="0" t="0"/>
            <wp:docPr descr="Figure 9: Trend estimate comparisons for three models applied to seasonal averages of chlorophyll in different annual periods at each station.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Values for each model are the slope est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4"/>
                    <a:stretch>
                      <a:fillRect/>
                    </a:stretch>
                  </pic:blipFill>
                  <pic:spPr bwMode="auto">
                    <a:xfrm>
                      <a:off x="0" y="0"/>
                      <a:ext cx="5943600" cy="6339840"/>
                    </a:xfrm>
                    <a:prstGeom prst="rect">
                      <a:avLst/>
                    </a:prstGeom>
                    <a:noFill/>
                    <a:ln w="9525">
                      <a:noFill/>
                      <a:headEnd/>
                      <a:tailEnd/>
                    </a:ln>
                  </pic:spPr>
                </pic:pic>
              </a:graphicData>
            </a:graphic>
          </wp:inline>
        </w:drawing>
      </w:r>
    </w:p>
    <w:p>
      <w:pPr>
        <w:pStyle w:val="ImageCaption"/>
      </w:pPr>
      <w:r>
        <w:t xml:space="preserve">Figure 9: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Values for each model are the slope estimates as annual change per year within each season, with color denoting significant trends.</w:t>
      </w:r>
    </w:p>
    <w:p>
      <w:pPr>
        <w:pStyle w:val="Heading1"/>
      </w:pPr>
      <w:bookmarkStart w:id="55" w:name="tables"/>
      <w:r>
        <w:t xml:space="preserve">Tables</w:t>
      </w:r>
      <w:bookmarkEnd w:id="55"/>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Table 4: Model performance statistics for each station as generalized cross-validation scores (GCV) and r-squared values.</w:t>
      </w:r>
    </w:p>
    <w:tbl>
      <w:tblPr>
        <w:tblStyle w:val="Table"/>
        <w:tblW w:type="pct" w:w="0.0"/>
        <w:tblLook w:firstRow="1"/>
        <w:tblCaption w:val="Table 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6" w:name="references"/>
      <w:r>
        <w:t xml:space="preserve">References</w:t>
      </w:r>
      <w:bookmarkEnd w:id="56"/>
    </w:p>
    <w:bookmarkStart w:id="97" w:name="refs"/>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Cleveland90"/>
    <w:p>
      <w:pPr>
        <w:pStyle w:val="Bibliography"/>
      </w:pPr>
      <w:r>
        <w:t xml:space="preserve">Cleveland, R. B., W. S. Cleveland, J. E. McRae, and I. Terpenning. 1990. STL: A seasonal-trend decomposition procedure based on Loess. Journal of Official Statistics 6:3–73.</w:t>
      </w:r>
    </w:p>
    <w:bookmarkEnd w:id="60"/>
    <w:bookmarkStart w:id="61" w:name="ref-Cloern10"/>
    <w:p>
      <w:pPr>
        <w:pStyle w:val="Bibliography"/>
      </w:pPr>
      <w:r>
        <w:t xml:space="preserve">Cloern, J. E., and A. D. Jassby. 2010. Patterns and scales of phytoplankton variability in estuarine-coastal ecosystems. Estuaries and Coasts 33:230–241.</w:t>
      </w:r>
    </w:p>
    <w:bookmarkEnd w:id="61"/>
    <w:bookmarkStart w:id="62"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2"/>
    <w:bookmarkStart w:id="63" w:name="ref-Cloern16"/>
    <w:p>
      <w:pPr>
        <w:pStyle w:val="Bibliography"/>
      </w:pPr>
      <w:r>
        <w:t xml:space="preserve">Cloern, J. E., and T. S. Schraga. 2016. USGS measurements of water quality in San Francisco Bay (CA), 1969-2015: U.S. Geological Survey data release. https://doi.org/10.5066/F7TQ5ZPR.</w:t>
      </w:r>
    </w:p>
    <w:bookmarkEnd w:id="63"/>
    <w:bookmarkStart w:id="64" w:name="ref-Cloern20"/>
    <w:p>
      <w:pPr>
        <w:pStyle w:val="Bibliography"/>
      </w:pPr>
      <w:r>
        <w:t xml:space="preserve">Cloern, J. E., T. S. Shcraga, E. Nejad, and C. Martin. 2020. Nutrient status of San Francisco Bay and its management implications. Estuaries &amp; Coasts 43:1299–1317.</w:t>
      </w:r>
    </w:p>
    <w:bookmarkEnd w:id="64"/>
    <w:bookmarkStart w:id="65" w:name="ref-Cumming06"/>
    <w:p>
      <w:pPr>
        <w:pStyle w:val="Bibliography"/>
      </w:pPr>
      <w:r>
        <w:t xml:space="preserve">Cumming, G. S., D. H. M. Cumming, and C. L. Redman. 2006. Scale mismatches in social-ecological systems: Causes, consequences, and solutions. Ecology and Society 11:14.</w:t>
      </w:r>
    </w:p>
    <w:bookmarkEnd w:id="65"/>
    <w:bookmarkStart w:id="66" w:name="ref-Forbes18"/>
    <w:p>
      <w:pPr>
        <w:pStyle w:val="Bibliography"/>
      </w:pPr>
      <w:r>
        <w:t xml:space="preserve">Forbes, D. J., and Z. Xie. 2018. Identifying process scales in the Indian River Lagoon, Florida using wavelet transform analysis of dissolved oxygen. Ecological Complexity 36:149–167.</w:t>
      </w:r>
    </w:p>
    <w:bookmarkEnd w:id="66"/>
    <w:bookmarkStart w:id="67" w:name="ref-Fouquet12"/>
    <w:p>
      <w:pPr>
        <w:pStyle w:val="Bibliography"/>
      </w:pPr>
      <w:r>
        <w:t xml:space="preserve">Fouquet, C. de. 2012. Environmental statistics revisited: Is the mean reliable? Environmental Science and Technology 46:1964–1970.</w:t>
      </w:r>
    </w:p>
    <w:bookmarkEnd w:id="67"/>
    <w:bookmarkStart w:id="68" w:name="ref-Gasparrini12"/>
    <w:p>
      <w:pPr>
        <w:pStyle w:val="Bibliography"/>
      </w:pPr>
      <w:r>
        <w:t xml:space="preserve">Gasparrini, A., B. Armstrong, and M. G. Kenward. 2012. Multivariate meta-analysis for non-linear and other multi-parameter associations. Statistics in Medicine 31:3821–3839.</w:t>
      </w:r>
    </w:p>
    <w:bookmarkEnd w:id="68"/>
    <w:bookmarkStart w:id="69" w:name="ref-Hafen10"/>
    <w:p>
      <w:pPr>
        <w:pStyle w:val="Bibliography"/>
      </w:pPr>
      <w:r>
        <w:t xml:space="preserve">Hafen, R. P. 2010. Local regression models: Advancements, applications, and new methods. PhD thesis, Purdue University, West Lafayette, Indiana.</w:t>
      </w:r>
    </w:p>
    <w:bookmarkEnd w:id="69"/>
    <w:bookmarkStart w:id="70"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0"/>
    <w:bookmarkStart w:id="71" w:name="ref-He06"/>
    <w:p>
      <w:pPr>
        <w:pStyle w:val="Bibliography"/>
      </w:pPr>
      <w:r>
        <w:t xml:space="preserve">He, S., S. Mazumdar, and V. C. Arena. 2006. A comparative study of the use of GAM and GLM in air pollution research. Environmetrics 17:81–93.</w:t>
      </w:r>
    </w:p>
    <w:bookmarkEnd w:id="71"/>
    <w:bookmarkStart w:id="72"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2"/>
    <w:bookmarkStart w:id="73" w:name="ref-Hirsch15"/>
    <w:p>
      <w:pPr>
        <w:pStyle w:val="Bibliography"/>
      </w:pPr>
      <w:r>
        <w:t xml:space="preserve">Hirsch, R. M., S. A. Archfield, and L. A. De Cicco. 2015. A bootstrap method for estimating uncertainty of water quality trends. Environmental Modelling and Software 73:148–166.</w:t>
      </w:r>
    </w:p>
    <w:bookmarkEnd w:id="73"/>
    <w:bookmarkStart w:id="74"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4"/>
    <w:bookmarkStart w:id="75" w:name="ref-Hirsch82"/>
    <w:p>
      <w:pPr>
        <w:pStyle w:val="Bibliography"/>
      </w:pPr>
      <w:r>
        <w:t xml:space="preserve">Hirsch, R. M., J. R. Slack, and R. A. Smith. 1982. Techniques of trend analysis for monthly water quality data. Water Resources Research 18:107–121.</w:t>
      </w:r>
    </w:p>
    <w:bookmarkEnd w:id="75"/>
    <w:bookmarkStart w:id="76" w:name="ref-Hothorn08"/>
    <w:p>
      <w:pPr>
        <w:pStyle w:val="Bibliography"/>
      </w:pPr>
      <w:r>
        <w:t xml:space="preserve">Hothorn, T., F. Bretz, and P. Westfall. 2008. Simultaneous inference in general parametric models. Biometrical Journal 50:346–363.</w:t>
      </w:r>
    </w:p>
    <w:bookmarkEnd w:id="76"/>
    <w:bookmarkStart w:id="77" w:name="ref-Jassby02"/>
    <w:p>
      <w:pPr>
        <w:pStyle w:val="Bibliography"/>
      </w:pPr>
      <w:r>
        <w:t xml:space="preserve">Jassby, A. D., J. E. Cloern, and B. E. Cole. 2002. Annual primary production: Patterns and mechanisms of change in a nutrient-rich tidal ecosystem. Limnology and Oceanography 47:698–712.</w:t>
      </w:r>
    </w:p>
    <w:bookmarkEnd w:id="77"/>
    <w:bookmarkStart w:id="78" w:name="ref-Junninen04"/>
    <w:p>
      <w:pPr>
        <w:pStyle w:val="Bibliography"/>
      </w:pPr>
      <w:r>
        <w:t xml:space="preserve">Junninen, H., H. Niska, K. Tuppurainen, J. Ruuskanen, and M. Kolehmainen. 2004. Methods for imputation of missing values in air quality data sets. Atmospheric Environment 38:2895–2907.</w:t>
      </w:r>
    </w:p>
    <w:bookmarkEnd w:id="78"/>
    <w:bookmarkStart w:id="79"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9"/>
    <w:bookmarkStart w:id="80" w:name="ref-Morton08"/>
    <w:p>
      <w:pPr>
        <w:pStyle w:val="Bibliography"/>
      </w:pPr>
      <w:r>
        <w:t xml:space="preserve">Morton, R., and B. L. Henderson. 2008. Estimation of nonlinear trends in water quality: An improved approach using generalized additive models. Water Resources Research 44:W07420.</w:t>
      </w:r>
    </w:p>
    <w:bookmarkEnd w:id="80"/>
    <w:bookmarkStart w:id="81"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1"/>
    <w:bookmarkStart w:id="82"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2"/>
    <w:bookmarkStart w:id="83"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3"/>
    <w:bookmarkStart w:id="84"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4"/>
    <w:bookmarkStart w:id="85"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85"/>
    <w:bookmarkStart w:id="86" w:name="ref-Sera19"/>
    <w:p>
      <w:pPr>
        <w:pStyle w:val="Bibliography"/>
      </w:pPr>
      <w:r>
        <w:t xml:space="preserve">Sera, F., B. Armstrong, M. Blangiardo, and A. Gasparrini. 2019. An extended mixed-effects framework for meta-analysis. Statistics in Medicine 38:5429–5444.</w:t>
      </w:r>
    </w:p>
    <w:bookmarkEnd w:id="86"/>
    <w:bookmarkStart w:id="87"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87"/>
    <w:bookmarkStart w:id="88" w:name="ref-Testa18"/>
    <w:p>
      <w:pPr>
        <w:pStyle w:val="Bibliography"/>
      </w:pPr>
      <w:r>
        <w:t xml:space="preserve">Testa, J. M., R. R. Murphy, D. C. Brady, and W. M. Kemp. 2018. Nutrient- and climate-induced shifts in the phenology of linked biogeochemical cycles in a temperate estuary. Frontiers in Marine Science 5:1–15.</w:t>
      </w:r>
    </w:p>
    <w:bookmarkEnd w:id="88"/>
    <w:bookmarkStart w:id="89" w:name="ref-Urquhart98"/>
    <w:p>
      <w:pPr>
        <w:pStyle w:val="Bibliography"/>
      </w:pPr>
      <w:r>
        <w:t xml:space="preserve">Urquhart, N. S., S. G. Paulsen, and D. P. Larsen. 1998. Monitoring for policy-relevant regional trends over time. Ecological Applications 8:246–257.</w:t>
      </w:r>
    </w:p>
    <w:bookmarkEnd w:id="89"/>
    <w:bookmarkStart w:id="90" w:name="ref-Wan17"/>
    <w:p>
      <w:pPr>
        <w:pStyle w:val="Bibliography"/>
      </w:pPr>
      <w:r>
        <w:t xml:space="preserve">Wan, Y., L. Wan, Y. Li, and P. Doering. 2017. Decadal and seasonal trends of nutrient concentration and export from highly managed coastal catchments. Water Research 115:180–194.</w:t>
      </w:r>
    </w:p>
    <w:bookmarkEnd w:id="90"/>
    <w:bookmarkStart w:id="91" w:name="ref-Wood03"/>
    <w:p>
      <w:pPr>
        <w:pStyle w:val="Bibliography"/>
      </w:pPr>
      <w:r>
        <w:t xml:space="preserve">Wood, S. N. 2003. Thin-plate regression splines. Journal of the Royal Statistical Society (B) 65:95–114.</w:t>
      </w:r>
    </w:p>
    <w:bookmarkEnd w:id="91"/>
    <w:bookmarkStart w:id="92" w:name="ref-Wood04"/>
    <w:p>
      <w:pPr>
        <w:pStyle w:val="Bibliography"/>
      </w:pPr>
      <w:r>
        <w:t xml:space="preserve">Wood, S. N. 2004. Stable and efficient multiple smoothing parameter estimation for generalized additive models. Journal of the American Statistical Association 99:673–686.</w:t>
      </w:r>
    </w:p>
    <w:bookmarkEnd w:id="92"/>
    <w:bookmarkStart w:id="93" w:name="ref-Wood17"/>
    <w:p>
      <w:pPr>
        <w:pStyle w:val="Bibliography"/>
      </w:pPr>
      <w:r>
        <w:t xml:space="preserve">Wood, S. N. 2017. Generalized additive models: An introduction with r. Page 476. 2nd editions. Chapman; Hall, CRC Press, London, United Kingdom.</w:t>
      </w:r>
    </w:p>
    <w:bookmarkEnd w:id="93"/>
    <w:bookmarkStart w:id="94" w:name="ref-Wood02"/>
    <w:p>
      <w:pPr>
        <w:pStyle w:val="Bibliography"/>
      </w:pPr>
      <w:r>
        <w:t xml:space="preserve">Wood, S. N., and N. H. Augustin. 2002. GAMs with integrated model selection using penalized regression splines and applications to environmental modelling. Ecological Modelling 157:157–177.</w:t>
      </w:r>
    </w:p>
    <w:bookmarkEnd w:id="94"/>
    <w:bookmarkStart w:id="95" w:name="ref-Yang20"/>
    <w:p>
      <w:pPr>
        <w:pStyle w:val="Bibliography"/>
      </w:pPr>
      <w:r>
        <w:t xml:space="preserve">Yang, G., and D. L. Moyer. 2020. Estimation of nonlinear water-quality trends in high-frequency monitoring data. Science of The Total Environment 715:10.1016/j.scitotenv.2020.136686.</w:t>
      </w:r>
    </w:p>
    <w:bookmarkEnd w:id="95"/>
    <w:bookmarkStart w:id="96" w:name="ref-Zuur09"/>
    <w:p>
      <w:pPr>
        <w:pStyle w:val="Bibliography"/>
      </w:pPr>
      <w:r>
        <w:t xml:space="preserve">Zuur, A. F., E. N. Ieno, N. J. Walker, A. A. Saveliev, and G. M. Smith. 2009. Mixed effects models and extensions in ecology with r. Page 574. Springer-Verlag, New York, New York.</w:t>
      </w:r>
    </w:p>
    <w:bookmarkEnd w:id="96"/>
    <w:bookmarkEnd w:id="97"/>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2020-12-04T11:46:04Z</dcterms:created>
  <dcterms:modified xsi:type="dcterms:W3CDTF">2020-12-04T11:46:04Z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